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2476500</wp:posOffset>
                </wp:positionV>
                <wp:extent cx="647700" cy="133350"/>
                <wp:effectExtent l="0" t="0" r="0" b="0"/>
                <wp:wrapNone/>
                <wp:docPr id="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4770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1" type="#_x0000_t1" style="position:absolute;z-index:251657728;o:allowoverlap:true;o:allowincell:true;mso-position-horizontal-relative:text;margin-left:25.10pt;mso-position-horizontal:absolute;mso-position-vertical-relative:text;margin-top:195.00pt;mso-position-vertical:absolute;width:51.00pt;height:10.50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pPr>
                        <w:rPr>
                          <w:rFonts w:ascii="Verdana" w:hAnsi="Verdana"/>
                          <w:sz w:val="1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1233805</wp:posOffset>
                </wp:positionH>
                <wp:positionV relativeFrom="paragraph">
                  <wp:posOffset>2293620</wp:posOffset>
                </wp:positionV>
                <wp:extent cx="927100" cy="133350"/>
                <wp:effectExtent l="0" t="0" r="0" b="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92710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1" type="#_x0000_t1" style="position:absolute;z-index:251656704;o:allowoverlap:true;o:allowincell:true;mso-position-horizontal-relative:text;margin-left:97.15pt;mso-position-horizontal:absolute;mso-position-vertical-relative:text;margin-top:180.60pt;mso-position-vertical:absolute;width:73.00pt;height:10.50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pPr>
                        <w:rPr>
                          <w:rFonts w:ascii="Verdana" w:hAnsi="Verdana"/>
                          <w:sz w:val="1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166370</wp:posOffset>
                </wp:positionH>
                <wp:positionV relativeFrom="paragraph">
                  <wp:posOffset>2293620</wp:posOffset>
                </wp:positionV>
                <wp:extent cx="800100" cy="133350"/>
                <wp:effectExtent l="0" t="0" r="0" b="0"/>
                <wp:wrapNone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0010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" o:spid="_x0000_s2" o:spt="1" type="#_x0000_t1" style="position:absolute;z-index:251655680;o:allowoverlap:true;o:allowincell:true;mso-position-horizontal-relative:text;margin-left:13.10pt;mso-position-horizontal:absolute;mso-position-vertical-relative:text;margin-top:180.60pt;mso-position-vertical:absolute;width:63.00pt;height:10.50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pPr>
                        <w:rPr>
                          <w:rFonts w:ascii="Verdana" w:hAnsi="Verdana"/>
                          <w:sz w:val="1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1233805</wp:posOffset>
                </wp:positionH>
                <wp:positionV relativeFrom="paragraph">
                  <wp:posOffset>2476500</wp:posOffset>
                </wp:positionV>
                <wp:extent cx="828040" cy="133350"/>
                <wp:effectExtent l="0" t="0" r="0" b="0"/>
                <wp:wrapNone/>
                <wp:docPr id="4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2804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" o:spid="_x0000_s3" o:spt="1" type="#_x0000_t1" style="position:absolute;z-index:251658752;o:allowoverlap:true;o:allowincell:true;mso-position-horizontal-relative:text;margin-left:97.15pt;mso-position-horizontal:absolute;mso-position-vertical-relative:text;margin-top:195.00pt;mso-position-vertical:absolute;width:65.20pt;height:10.50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pPr>
                        <w:rPr>
                          <w:rFonts w:ascii="Verdana" w:hAnsi="Verdana"/>
                          <w:sz w:val="1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    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highlight w:val="white"/>
        </w:rPr>
        <w:t xml:space="preserve">Приложение №1 к Документации о закупке</w:t>
      </w:r>
      <w:r>
        <w:rPr>
          <w:rFonts w:ascii="Times New Roman" w:hAnsi="Times New Roman" w:cs="Times New Roman"/>
          <w:sz w:val="20"/>
          <w:szCs w:val="20"/>
          <w:highlight w:val="white"/>
        </w:rPr>
      </w:r>
      <w:r>
        <w:rPr>
          <w:rFonts w:ascii="Times New Roman" w:hAnsi="Times New Roman" w:cs="Times New Roman"/>
          <w:sz w:val="20"/>
          <w:szCs w:val="20"/>
          <w:highlight w:val="white"/>
        </w:rPr>
      </w:r>
    </w:p>
    <w:p>
      <w:pPr>
        <w:jc w:val="center"/>
        <w:spacing w:line="36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jc w:val="center"/>
        <w:spacing w:line="36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Технические требования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hanging="180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на проведение аукциона в электронной форме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left="180" w:hanging="18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2"/>
        </w:numPr>
        <w:ind w:left="1190" w:hanging="510"/>
        <w:jc w:val="both"/>
        <w:spacing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u w:val="single"/>
        </w:rPr>
        <w:t xml:space="preserve">Наименование: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680"/>
        <w:jc w:val="both"/>
        <w:spacing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Аукцион в электронной форме «ОКПД 2 64.19.21.000 Оказание услуг по предоставлению заемных средств для нужд АО "ДГК", г. Хабаровск».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2"/>
        </w:numPr>
        <w:ind w:left="1190" w:hanging="510"/>
        <w:jc w:val="both"/>
        <w:spacing w:before="120" w:line="276" w:lineRule="auto"/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u w:val="single"/>
        </w:rPr>
        <w:t xml:space="preserve">Заказчик:</w:t>
      </w:r>
      <w:r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</w:r>
    </w:p>
    <w:p>
      <w:pPr>
        <w:numPr>
          <w:ilvl w:val="1"/>
          <w:numId w:val="12"/>
        </w:numPr>
        <w:ind w:hanging="11"/>
        <w:jc w:val="both"/>
        <w:spacing w:before="240"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Наименование заказчика: Акционерное общество «Дальневосточная генерирующая компания»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Адрес заказчика: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680000, г. Хабаровск, ул. Фрунзе, 49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2"/>
        </w:numPr>
        <w:ind w:left="1190" w:hanging="510"/>
        <w:jc w:val="both"/>
        <w:spacing w:before="240"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u w:val="single"/>
        </w:rPr>
        <w:t xml:space="preserve">Требования к оказываемой услуге: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Вид кредитного продукта: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20"/>
        <w:jc w:val="both"/>
        <w:spacing w:before="120"/>
        <w:shd w:val="clear" w:color="ffffff" w:themeColor="background1" w:fill="ffffff" w:themeFill="background1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№1 (90008019-ФИ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 ФД-2026-ДГК) –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возобновляемая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рамочная кредитная линия (без обязательств по выдаче денежных средств) с лимитом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4 000 000 000,00 рублей,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кредиты (транши) в рамках кредитной линии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предоставляются на срок не более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5 (Пяти) лет.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20"/>
        <w:jc w:val="both"/>
        <w:spacing w:before="120"/>
        <w:shd w:val="clear" w:color="ffffff" w:themeColor="background1" w:fill="ffffff" w:themeFill="background1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№2 (90008020-ФИН ФД-2026-ДГК) –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возобновляемая рамочная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кредитная линия (без обязательств по выдаче денежных средств) с лимитом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5 000 000 000,00 рублей,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кредиты (транши) в рамках кредитной линии предоставляются на срок не более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5 (Пяти) лет.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709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Цел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ь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 привлечения кредитных средств: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финансирование текущей операционной деятельности,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 том числе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перечисление денежных средств на расчетные счета в других кредитных организациях, с подтверждением дальнейшего целевого расходования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инвестиционной деятельности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рефинансирования действующих кредитов и займов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709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Start w:id="0" w:name="_GoBack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Предоставление заемных средств Кредитором Заемщику осуществляется Кредитами (траншами) в размере и на условиях, согласованных Заемщиком и Кредитором, оформляемых отдельными Подтверждениями (заявлениями) Сторон в пределах лимита Кредитной линии.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709" w:firstLine="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Период заимствования (срок действия договора):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709"/>
        <w:jc w:val="both"/>
        <w:spacing w:before="120"/>
        <w:tabs>
          <w:tab w:val="left" w:pos="1276" w:leader="none"/>
        </w:tabs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№1 (90008019-ФИН ФД-2026-ДГК)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- 2 555 дн.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left="709"/>
        <w:jc w:val="both"/>
        <w:spacing w:before="120"/>
        <w:tabs>
          <w:tab w:val="left" w:pos="1276" w:leader="none"/>
        </w:tabs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№2 (90008020-ФИН ФД-2026-ДГК)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 - 2 555 дн.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709" w:firstLine="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Период выборки кредита (период действия лимита):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680"/>
        <w:jc w:val="both"/>
        <w:spacing w:before="120"/>
        <w:tabs>
          <w:tab w:val="left" w:pos="1276" w:leader="none"/>
        </w:tabs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№1 (90008019-ФИН ФД-2026-ДГК)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– в течение всего срока действия договора.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680"/>
        <w:jc w:val="both"/>
        <w:spacing w:before="120"/>
        <w:tabs>
          <w:tab w:val="left" w:pos="1276" w:leader="none"/>
        </w:tabs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№2 (90008020-ФИН ФД-2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026-ДГК)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– в течение всего срока действия договора.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680"/>
        <w:jc w:val="both"/>
        <w:spacing w:before="120" w:after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Заключение кредитного договора: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не ранее чем через 10 (десять) календарных дней и не позднее чем через 20 (двадцать) календарных дней с даты официального размещения итогового протокола, составленного по результатам закупки.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709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Начальная (максимальная) цена (в рублях) -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суммарная величина за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трат на привлечение и обслуживание заемных средств: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№1 (90008019 -ФИН ФД-2026-ДГК) - 5 110 000 000,00 рублей (без учета НДС), в т.ч.: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- цена ключевой ставки Банка России - 3 990 000 000,00 рублей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- начальный максимальный размер маржи – 1 120 000 000,00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рублей.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№2 (90008020 -ФИН ФД-2026-ДГК) - 6 387 500 000,00 рублей (без учета НДС), в т.ч.: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- цена ключевой ставки Банка России - 4 987 500 000,00 рублей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- начальный максимальный размер маржи – 1 400 000 000,00 рублей.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24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Комиссии: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 включение любых комиссий в кредитный договор не предусмотрено.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Максимальная процентная ставка за пользование кредитными средствами: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68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№1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90008019-ФИН ФД-2026-ДГК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) – не более ключевой ставки Банка России + маржа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4% годовых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 В целях единого формирования процентной ставки ключевая ставка Банка России определяется исхо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дя из действующей ключевой ставки –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14,25% годовых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, определенной Банком России 19.06.2026 г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68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№2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90008020-ФИН ФД-2026-ДГК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) – не более ключевой ставки Банка России + маржа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4% годовых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 В целях единого формирования процентной ставки ключевая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ставка Банка Рос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сии определяется исходя из действующей ключевой ставки –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14,25% годовых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, определенной Банком России 19.06.2026 г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Шаг аукциона (величина понижения начальной максимальной цены) -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0,5%-5,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0% от максимальной цены договора (Приложение №1), что составляет: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46"/>
        <w:ind w:left="0" w:firstLine="72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Лот №1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90008019-ФИН ФД-2026-ДГК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)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val="ru-RU"/>
        </w:rPr>
        <w:t xml:space="preserve">–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4"/>
          <w:szCs w:val="24"/>
          <w:highlight w:val="white"/>
          <w:u w:val="none"/>
          <w:vertAlign w:val="baseline"/>
        </w:rPr>
        <w:t xml:space="preserve">25 550 000,00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руб. (без учета НДС) –                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4"/>
          <w:szCs w:val="24"/>
          <w:highlight w:val="white"/>
          <w:u w:val="none"/>
          <w:vertAlign w:val="baseline"/>
        </w:rPr>
        <w:t xml:space="preserve">255 500 000,00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руб. (без учета НДС);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pStyle w:val="946"/>
        <w:ind w:left="0" w:firstLine="72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Лот №2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90008020-ФИН ФД-2026-ДГК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)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val="ru-RU"/>
        </w:rPr>
        <w:t xml:space="preserve">– 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4"/>
          <w:szCs w:val="24"/>
          <w:highlight w:val="white"/>
          <w:u w:val="none"/>
        </w:rPr>
        <w:t xml:space="preserve">31 937 500,00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руб. (без учета НДС) –                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4"/>
          <w:szCs w:val="24"/>
          <w:highlight w:val="white"/>
          <w:u w:val="none"/>
        </w:rPr>
        <w:t xml:space="preserve">319 375 000,00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руб. (без учета НДС);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709"/>
        <w:jc w:val="both"/>
        <w:spacing w:before="153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Порядок формирования цены договора (расчет прилагается) –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При расчете цены договора предполагается осуществление полной выборки кредита в первый день открытия кредитной линии и полное единовременное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погашение в последний день действия договора.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 При расчете цены договора (процентов) количество дней в месяце принимается равным календарному, а в году принимается равным 365 дням: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709"/>
        <w:jc w:val="both"/>
        <w:spacing w:before="240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Лот №1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90008019-ФИН ФД-2026-ДГК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):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ind w:left="709"/>
        <w:jc w:val="both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tbl>
      <w:tblPr>
        <w:tblStyle w:val="799"/>
        <w:tblW w:w="9923" w:type="dxa"/>
        <w:tblInd w:w="14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8506"/>
      </w:tblGrid>
      <w:tr>
        <w:tblPrEx/>
        <w:trPr>
          <w:trHeight w:val="28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Цена договора =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06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4 000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000 000 руб. * (Ключевая ставка Банка России+маржа,%) *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2 555 дн.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365 дн.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left="709"/>
        <w:jc w:val="both"/>
        <w:spacing w:before="240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Лот №2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90008020-ФИН ФД-2026-ДГК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):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ind w:left="709"/>
        <w:jc w:val="both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tbl>
      <w:tblPr>
        <w:tblStyle w:val="799"/>
        <w:tblW w:w="9923" w:type="dxa"/>
        <w:tblInd w:w="14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8506"/>
      </w:tblGrid>
      <w:tr>
        <w:tblPrEx/>
        <w:trPr>
          <w:trHeight w:val="28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Цена договора =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06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000 000 000 руб. * (Ключевая ставка Банка России+маржа,%) * 2 555 дн.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365 дн.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numPr>
          <w:ilvl w:val="1"/>
          <w:numId w:val="12"/>
        </w:numPr>
        <w:ind w:left="0" w:firstLine="680"/>
        <w:jc w:val="both"/>
        <w:spacing w:before="36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Валюта, используемая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для формирования (максимальной) цены, а также, любых расчетов между Сторонами по заключаемому по результату торгов договору –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российский рубль. Не допускается включения в состав Предложения (и/или проект договора) условий, в соответств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ии с которыми могут возникнуть обязательства, выраженные в иностранной валюте (либо возникнуть обязательства, величина которых приравнивается к иностранной валюте).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680"/>
        <w:jc w:val="both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Включение Участником закупки в состав Предложения (и/или проект договора) условий, в соотве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тствии с которыми могут возникнуть обязательства, выраженные в иностранной валюте (либо возникнуть обязательства, величина которых приравнивается к иностранной валюте), может быть расценено закупочной комиссией как несоответствие Предложения на участие в з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акупке требованиям, установленным закупочной документацией.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Порядок уплаты процентов: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ежемесячно в последний рабочий день каждого календарного месяца в сумме начисленных процентов по последний календарный день месяца (включительно), и в дату полного погаше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ния кредита или в дату полного погашения кредита, осуществленного ранее установленного срока погашения, в сумме начисленных на указанные даты процентов (включительно).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Вид процентной ставки: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плавающая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Изменение процентной ставки: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При изменении Банком Росс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ии ключевой ставки, процентная ставка по договору изменяется на величину изменения ключевой ставки Банка России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 даты изменения ключевой ставки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Банком России.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white"/>
        </w:rPr>
        <w:t xml:space="preserve">Использование лимита кредитной линии:</w:t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без дополнительных пеней,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штрафных санкций, комиссий, процентов за неполное использование лимита.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946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4"/>
          <w:szCs w:val="24"/>
          <w:highlight w:val="white"/>
          <w:lang w:val="ru-RU"/>
        </w:rPr>
        <w:t xml:space="preserve">Прочие платежи: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val="ru-RU"/>
        </w:rPr>
        <w:t xml:space="preserve"> за несвоевременный возврат основного долга и процентов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П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огашение кредита: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 окончанию срока действия договора.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Досрочное погашение кредита: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досрочное погашение предусмотрено на протяжении всего срока действия кредитного договора без моратория, оплаты комиссий и штрафных санкций, связанных с досрочным погашением. Письменное Уведомление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 досрочном погашении направляется Кредитору за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2 (Два) Раб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очих дня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до перечисления суммы Основного долга.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709"/>
        <w:jc w:val="both"/>
        <w:spacing w:before="120"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Обеспечение: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поручительство ПАО «РусГидро». Договор поручительства заключается в течение 75 календарных дней с даты заключения кредитного договора.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 период действия отсрочки заключение договора поручительства не может являться отлагательным условием выдачи кредитных средств Банком.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Право на акцепт списания денежных средств –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не предоставляется (включая расчетный счет, открытый в Банке-кредиторе).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white"/>
        </w:rPr>
        <w:t xml:space="preserve">Усл</w:t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white"/>
        </w:rPr>
        <w:t xml:space="preserve">овия по поддержанию кредитовых оборотов на счете: 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highlight w:val="white"/>
        </w:rPr>
        <w:t xml:space="preserve">не предоставляется.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Допустимые ковенанты: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Возможно установление только следующих ковенант: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6"/>
        </w:numPr>
        <w:ind w:left="1418"/>
        <w:jc w:val="both"/>
        <w:spacing w:before="120" w:line="276" w:lineRule="auto"/>
        <w:tabs>
          <w:tab w:val="left" w:pos="1418" w:leader="none"/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u w:val="single"/>
        </w:rPr>
        <w:t xml:space="preserve">Финансовые ковенанты Группы РусГидро: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before="120" w:line="276" w:lineRule="auto"/>
        <w:tabs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Показатель Чистый Долг / EBITDA -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не более предельного значения 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tbl>
      <w:tblPr>
        <w:tblStyle w:val="799"/>
        <w:tblW w:w="0" w:type="auto"/>
        <w:tblLayout w:type="fixed"/>
        <w:tblLook w:val="04A0" w:firstRow="1" w:lastRow="0" w:firstColumn="1" w:lastColumn="0" w:noHBand="0" w:noVBand="1"/>
      </w:tblPr>
      <w:tblGrid>
        <w:gridCol w:w="2903"/>
        <w:gridCol w:w="2903"/>
      </w:tblGrid>
      <w:tr>
        <w:tblPrEx/>
        <w:trPr/>
        <w:tc>
          <w:tcPr>
            <w:tcW w:w="29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 xml:space="preserve">Отчетная дата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29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 xml:space="preserve">Предельное значение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29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31.12.2025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31.12.2026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31.12.2027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29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6,0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29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31.12.2028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29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5,0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29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31.12.2029 и далее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29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4,0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</w:tbl>
    <w:p>
      <w:pPr>
        <w:jc w:val="both"/>
        <w:spacing w:before="120" w:line="276" w:lineRule="auto"/>
        <w:tabs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Показатель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Чистый Долг / EBITDA рассчитывается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один раз в год на основании данных годовой консолидированной финансовой отчетности Группы РусГидро на 31 декабря каждого года по МСФО.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before="120" w:line="276" w:lineRule="auto"/>
        <w:tabs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Показатель Чистый Долг = Долгосрочные кредиты и займы + Краткосрочные кредиты и займы – Денежные средства и их эквивалент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ы.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before="120" w:line="276" w:lineRule="auto"/>
        <w:tabs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Показатель EBITDA (МСФО) = Операционная прибыль за последние 4 (Четыре) квартала + Амортизационные отчисления за последние 4 (Четыре) квартала + Корректировка на неденежные статьи операционных расходов и доходов.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before="120" w:line="276" w:lineRule="auto"/>
        <w:tabs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При этом доходы включаются в корректиров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ку со знаком «-», а расходы – со знаком «+».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before="120" w:line="276" w:lineRule="auto"/>
        <w:tabs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Группа РусГидро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– ПАО «РусГидро» и дочерние общества, при включении которых в консолидированную финансовую отчетность РусГидро по МСФО используется метод прямой консолидации.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6"/>
        </w:numPr>
        <w:ind w:left="1418"/>
        <w:jc w:val="both"/>
        <w:spacing w:before="120" w:line="276" w:lineRule="auto"/>
        <w:tabs>
          <w:tab w:val="left" w:pos="1418" w:leader="none"/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white"/>
          <w:u w:val="single"/>
        </w:rPr>
        <w:t xml:space="preserve">Допустимые нефинансовые ковенанты: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46"/>
        <w:contextualSpacing w:val="0"/>
        <w:jc w:val="both"/>
        <w:spacing w:before="120"/>
        <w:tabs>
          <w:tab w:val="left" w:pos="0" w:leader="none"/>
          <w:tab w:val="center" w:pos="5103" w:leader="none"/>
          <w:tab w:val="right" w:pos="1020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Согласно разделам 9 и 10 типового Соглашения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6"/>
        </w:numPr>
        <w:ind w:left="0" w:firstLine="698"/>
        <w:jc w:val="both"/>
        <w:spacing w:before="120" w:line="276" w:lineRule="auto"/>
        <w:tabs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Данный перечень исчерпывает возможные финансовые и нефинансовые ковенанты.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Включение дополнительных ковенантов в проект кредитного договора не допускается. Заявка, содержащая дополнительные ковенанты, не предусм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отренные проектом кредитного договора, будет отклонена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Участник может исключить любые ковенанты из проекта кредитного договора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2"/>
        </w:numPr>
        <w:ind w:left="1190" w:hanging="510"/>
        <w:jc w:val="both"/>
        <w:spacing w:before="240" w:line="276" w:lineRule="auto"/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u w:val="single"/>
        </w:rPr>
        <w:t xml:space="preserve">Требования к качеству:</w:t>
      </w:r>
      <w:r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</w:r>
    </w:p>
    <w:p>
      <w:pPr>
        <w:ind w:firstLine="709"/>
        <w:jc w:val="both"/>
        <w:spacing w:before="240"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Заказчиком применяются требования к безопасности, качеству услуг, к результатам услуг, отличные от установленных в соответствии с законодательством Российской Федерации о техническом регулировании, законодательством Российской Федерации о стандартизации в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связи с тем, что по данным видам услуг отсутствуют требования,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before="120"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Для качественного исполнения услуг по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кредитованию необходимо руководствоваться нормативными документами Российской Федерации (с учетом действующих изменений и дополнений), в том числе: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before="120"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- Федеральный закон от 02.12.1990 N 395-1 "О банках и банковской деятельности".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2"/>
        </w:numPr>
        <w:ind w:left="1190" w:hanging="510"/>
        <w:jc w:val="both"/>
        <w:spacing w:before="240" w:line="276" w:lineRule="auto"/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u w:val="single"/>
        </w:rPr>
        <w:t xml:space="preserve">Требования к Участникам: </w:t>
      </w:r>
      <w:r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</w:r>
    </w:p>
    <w:p>
      <w:pPr>
        <w:ind w:firstLine="709"/>
        <w:jc w:val="both"/>
        <w:spacing w:before="120"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1. Участник должен являться кредитной организацией, созданной на основе любой формы собственности как хозяйственное общество (акционерное общество) и совершать банковские операции на основании действующей лицензии на осуществление банковских операций, выда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нной Центральным банком Российской Федерации.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360" w:firstLine="349"/>
        <w:jc w:val="both"/>
        <w:spacing w:before="12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2.   Наличие одобрения предоставления кредитных средств банком.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360" w:firstLine="349"/>
        <w:jc w:val="both"/>
        <w:spacing w:before="12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8"/>
        </w:numPr>
        <w:ind w:left="0" w:firstLine="709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Перечень документов, подтверждающих соответствие Участника закупки установленным дополнительным требованиям: 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44"/>
        <w:numPr>
          <w:ilvl w:val="0"/>
          <w:numId w:val="10"/>
        </w:numPr>
        <w:ind w:left="0" w:firstLine="709"/>
        <w:spacing w:before="120" w:line="276" w:lineRule="auto"/>
        <w:tabs>
          <w:tab w:val="left" w:pos="-142" w:leader="none"/>
          <w:tab w:val="left" w:pos="34" w:leader="none"/>
          <w:tab w:val="left" w:pos="142" w:leader="none"/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Заверенная Участником копия лицензии на осуществление банковских операций, выдаваемая Банком России, которая должна содержать указание на один из видов лицензий, определенных п.п.8.8 - 8.10, 14.1 Инструкции ЦБ РФ от 02.04.2010 №135-И, перечень банковских 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пераций, право на осуществление которых предоставлено кредитной организации, дату выдачи и номер лицензии.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44"/>
        <w:numPr>
          <w:ilvl w:val="0"/>
          <w:numId w:val="10"/>
        </w:numPr>
        <w:ind w:left="0" w:firstLine="709"/>
        <w:spacing w:before="120" w:line="276" w:lineRule="auto"/>
        <w:tabs>
          <w:tab w:val="left" w:pos="34" w:leader="none"/>
          <w:tab w:val="left" w:pos="317" w:leader="none"/>
          <w:tab w:val="left" w:pos="543" w:leader="none"/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 Заверенный Участником документ, подтверждающий решение компетентного органа об одобрении предоставления кредитных средств банком.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spacing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spacing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spacing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sectPr>
      <w:headerReference w:type="even" r:id="rId9"/>
      <w:footnotePr/>
      <w:endnotePr/>
      <w:type w:val="nextPage"/>
      <w:pgSz w:w="11906" w:h="16838" w:orient="portrait"/>
      <w:pgMar w:top="426" w:right="851" w:bottom="538" w:left="1134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Symbol">
    <w:panose1 w:val="05010000000000000000"/>
  </w:font>
  <w:font w:name="Courier New">
    <w:panose1 w:val="02070309020205020404"/>
  </w:font>
  <w:font w:name="Wingdings">
    <w:panose1 w:val="05010000000000000000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9"/>
      <w:rPr>
        <w:rStyle w:val="941"/>
      </w:rPr>
      <w:framePr w:wrap="around" w:vAnchor="text" w:hAnchor="margin" w:xAlign="center" w:y="1"/>
    </w:pPr>
    <w:r>
      <w:rPr>
        <w:rStyle w:val="941"/>
      </w:rPr>
      <w:fldChar w:fldCharType="begin"/>
    </w:r>
    <w:r>
      <w:rPr>
        <w:rStyle w:val="941"/>
      </w:rPr>
      <w:instrText xml:space="preserve">PAGE  </w:instrText>
    </w:r>
    <w:r>
      <w:rPr>
        <w:rStyle w:val="941"/>
      </w:rPr>
      <w:fldChar w:fldCharType="end"/>
    </w:r>
    <w:r>
      <w:rPr>
        <w:rStyle w:val="941"/>
      </w:rPr>
    </w:r>
    <w:r>
      <w:rPr>
        <w:rStyle w:val="941"/>
      </w:rPr>
    </w:r>
  </w:p>
  <w:p>
    <w:pPr>
      <w:pStyle w:val="93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720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9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394" w:hanging="360"/>
        <w:tabs>
          <w:tab w:val="num" w:pos="39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114" w:hanging="360"/>
        <w:tabs>
          <w:tab w:val="num" w:pos="1114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34" w:hanging="360"/>
        <w:tabs>
          <w:tab w:val="num" w:pos="183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54" w:hanging="360"/>
        <w:tabs>
          <w:tab w:val="num" w:pos="255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74" w:hanging="360"/>
        <w:tabs>
          <w:tab w:val="num" w:pos="3274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94" w:hanging="360"/>
        <w:tabs>
          <w:tab w:val="num" w:pos="399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714" w:hanging="360"/>
        <w:tabs>
          <w:tab w:val="num" w:pos="471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34" w:hanging="360"/>
        <w:tabs>
          <w:tab w:val="num" w:pos="5434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54" w:hanging="360"/>
        <w:tabs>
          <w:tab w:val="num" w:pos="6154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isLgl/>
      <w:suff w:val="tab"/>
      <w:lvlText w:val="5.1."/>
      <w:lvlJc w:val="left"/>
      <w:pPr>
        <w:ind w:left="720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9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  <w:rPr>
        <w:rFonts w:hint="default" w:ascii="Arial" w:hAnsi="Arial"/>
      </w:rPr>
    </w:lvl>
    <w:lvl w:ilvl="1">
      <w:start w:val="1"/>
      <w:numFmt w:val="bullet"/>
      <w:isLgl w:val="false"/>
      <w:suff w:val="tab"/>
      <w:lvlText w:val="-"/>
      <w:lvlJc w:val="left"/>
      <w:pPr>
        <w:ind w:left="1755" w:hanging="675"/>
        <w:tabs>
          <w:tab w:val="num" w:pos="1755" w:leader="none"/>
        </w:tabs>
      </w:pPr>
      <w:rPr>
        <w:rFonts w:hint="default" w:ascii="Times New Roman" w:hAnsi="Times New Roman" w:eastAsia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9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94" w:hanging="360"/>
        <w:tabs>
          <w:tab w:val="num" w:pos="394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114" w:hanging="360"/>
        <w:tabs>
          <w:tab w:val="num" w:pos="1114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34" w:hanging="360"/>
        <w:tabs>
          <w:tab w:val="num" w:pos="183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54" w:hanging="360"/>
        <w:tabs>
          <w:tab w:val="num" w:pos="255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74" w:hanging="360"/>
        <w:tabs>
          <w:tab w:val="num" w:pos="3274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94" w:hanging="360"/>
        <w:tabs>
          <w:tab w:val="num" w:pos="399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714" w:hanging="360"/>
        <w:tabs>
          <w:tab w:val="num" w:pos="471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34" w:hanging="360"/>
        <w:tabs>
          <w:tab w:val="num" w:pos="5434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54" w:hanging="360"/>
        <w:tabs>
          <w:tab w:val="num" w:pos="6154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8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720" w:hanging="720"/>
      </w:pPr>
      <w:rPr>
        <w:rFonts w:hint="default"/>
        <w:b/>
        <w:i w:val="0"/>
        <w:sz w:val="28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9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44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b/>
      </w:rPr>
    </w:lvl>
    <w:lvl w:ilvl="1">
      <w:start w:val="1"/>
      <w:numFmt w:val="decimal"/>
      <w:isLgl w:val="false"/>
      <w:suff w:val="tab"/>
      <w:lvlText w:val=""/>
      <w:lvlJc w:val="left"/>
      <w:pPr>
        <w:ind w:left="-36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-36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-36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-36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-36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-36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-36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-360" w:firstLine="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50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63" w:hanging="180"/>
      </w:pPr>
    </w:lvl>
  </w:abstractNum>
  <w:abstractNum w:abstractNumId="1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0"/>
      <w:numFmt w:val="decimal"/>
      <w:isLgl/>
      <w:suff w:val="tab"/>
      <w:lvlText w:val="%1.%2."/>
      <w:lvlJc w:val="left"/>
      <w:pPr>
        <w:ind w:left="720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9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8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720" w:hanging="720"/>
      </w:pPr>
      <w:rPr>
        <w:rFonts w:hint="default"/>
        <w:b/>
        <w:i w:val="0"/>
        <w:sz w:val="28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9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  <w:tabs>
          <w:tab w:val="num" w:pos="928" w:leader="none"/>
        </w:tabs>
      </w:pPr>
      <w:rPr>
        <w:rFonts w:hint="default" w:cs="Times New Roman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0"/>
      <w:numFmt w:val="decimal"/>
      <w:isLgl/>
      <w:suff w:val="tab"/>
      <w:lvlText w:val="%1.%2."/>
      <w:lvlJc w:val="left"/>
      <w:pPr>
        <w:ind w:left="720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suff w:val="tab"/>
      <w:lvlText w:val="%1.21.%3."/>
      <w:lvlJc w:val="left"/>
      <w:pPr>
        <w:ind w:left="244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9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(%1)"/>
      <w:legacy w:legacy="1" w:legacyIndent="567" w:legacySpace="170"/>
      <w:lvlJc w:val="left"/>
      <w:pPr>
        <w:ind w:left="605" w:hanging="567"/>
      </w:pPr>
      <w:rPr>
        <w:rFonts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94" w:hanging="360"/>
        <w:tabs>
          <w:tab w:val="num" w:pos="1194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914" w:hanging="180"/>
        <w:tabs>
          <w:tab w:val="num" w:pos="1914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634" w:hanging="360"/>
        <w:tabs>
          <w:tab w:val="num" w:pos="2634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354" w:hanging="360"/>
        <w:tabs>
          <w:tab w:val="num" w:pos="3354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074" w:hanging="180"/>
        <w:tabs>
          <w:tab w:val="num" w:pos="4074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794" w:hanging="360"/>
        <w:tabs>
          <w:tab w:val="num" w:pos="4794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514" w:hanging="360"/>
        <w:tabs>
          <w:tab w:val="num" w:pos="5514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234" w:hanging="180"/>
        <w:tabs>
          <w:tab w:val="num" w:pos="6234" w:leader="none"/>
        </w:tabs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9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2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4"/>
  </w:num>
  <w:num w:numId="3">
    <w:abstractNumId w:val="20"/>
  </w:num>
  <w:num w:numId="4">
    <w:abstractNumId w:val="8"/>
  </w:num>
  <w:num w:numId="5">
    <w:abstractNumId w:val="1"/>
  </w:num>
  <w:num w:numId="6">
    <w:abstractNumId w:val="14"/>
  </w:num>
  <w:num w:numId="7">
    <w:abstractNumId w:val="25"/>
  </w:num>
  <w:num w:numId="8">
    <w:abstractNumId w:val="3"/>
  </w:num>
  <w:num w:numId="9">
    <w:abstractNumId w:val="12"/>
  </w:num>
  <w:num w:numId="10">
    <w:abstractNumId w:val="7"/>
  </w:num>
  <w:num w:numId="11">
    <w:abstractNumId w:val="16"/>
  </w:num>
  <w:num w:numId="12">
    <w:abstractNumId w:val="0"/>
  </w:num>
  <w:num w:numId="13">
    <w:abstractNumId w:val="13"/>
  </w:num>
  <w:num w:numId="14">
    <w:abstractNumId w:val="19"/>
  </w:num>
  <w:num w:numId="15">
    <w:abstractNumId w:val="17"/>
  </w:num>
  <w:num w:numId="16">
    <w:abstractNumId w:val="23"/>
  </w:num>
  <w:num w:numId="17">
    <w:abstractNumId w:val="0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suff w:val="tab"/>
        <w:lvlText w:val="%1.%2."/>
        <w:lvlJc w:val="left"/>
        <w:pPr>
          <w:ind w:left="720" w:hanging="720"/>
        </w:pPr>
        <w:rPr>
          <w:rFonts w:hint="default"/>
          <w:b/>
          <w:i w:val="0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tab"/>
        <w:lvlText w:val="%1.21."/>
        <w:lvlJc w:val="left"/>
        <w:pPr>
          <w:ind w:left="2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suff w:val="tab"/>
        <w:lvlText w:val="%1.%2.%3.%4."/>
        <w:lvlJc w:val="left"/>
        <w:pPr>
          <w:ind w:left="34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suff w:val="tab"/>
        <w:lvlText w:val="%1.%2.%3.%4.%5."/>
        <w:lvlJc w:val="left"/>
        <w:pPr>
          <w:ind w:left="416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suff w:val="tab"/>
        <w:lvlText w:val="%1.%2.%3.%4.%5.%6."/>
        <w:lvlJc w:val="left"/>
        <w:pPr>
          <w:ind w:left="52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suff w:val="tab"/>
        <w:lvlText w:val="%1.%2.%3.%4.%5.%6.%7."/>
        <w:lvlJc w:val="left"/>
        <w:pPr>
          <w:ind w:left="6240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suff w:val="tab"/>
        <w:lvlText w:val="%1.%2.%3.%4.%5.%6.%7.%8."/>
        <w:lvlJc w:val="left"/>
        <w:pPr>
          <w:ind w:left="69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suff w:val="tab"/>
        <w:lvlText w:val="%1.%2.%3.%4.%5.%6.%7.%8.%9."/>
        <w:lvlJc w:val="left"/>
        <w:pPr>
          <w:ind w:left="7960" w:hanging="2160"/>
        </w:pPr>
        <w:rPr>
          <w:rFonts w:hint="default"/>
        </w:rPr>
      </w:lvl>
    </w:lvlOverride>
  </w:num>
  <w:num w:numId="18">
    <w:abstractNumId w:val="2"/>
  </w:num>
  <w:num w:numId="19">
    <w:abstractNumId w:val="24"/>
  </w:num>
  <w:num w:numId="20">
    <w:abstractNumId w:val="10"/>
  </w:num>
  <w:num w:numId="21">
    <w:abstractNumId w:val="26"/>
  </w:num>
  <w:num w:numId="22">
    <w:abstractNumId w:val="22"/>
  </w:num>
  <w:num w:numId="23">
    <w:abstractNumId w:val="15"/>
  </w:num>
  <w:num w:numId="24">
    <w:abstractNumId w:val="6"/>
  </w:num>
  <w:num w:numId="25">
    <w:abstractNumId w:val="11"/>
  </w:num>
  <w:num w:numId="26">
    <w:abstractNumId w:val="18"/>
  </w:num>
  <w:num w:numId="27">
    <w:abstractNumId w:val="5"/>
  </w:num>
  <w:num w:numId="28">
    <w:abstractNumId w:val="21"/>
  </w:num>
  <w:num w:numId="29">
    <w:abstractNumId w:val="9"/>
  </w:num>
  <w:num w:numId="30">
    <w:abstractNumId w:val="28"/>
  </w:num>
  <w:num w:numId="31">
    <w:abstractNumId w:val="29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szCs w:val="22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1" w:default="1">
    <w:name w:val="Normal"/>
    <w:link w:val="814"/>
    <w:rPr>
      <w:rFonts w:ascii="Times New Roman" w:hAnsi="Times New Roman" w:eastAsia="Times New Roman"/>
      <w:sz w:val="24"/>
      <w:szCs w:val="24"/>
      <w:lang w:val="ru-RU"/>
    </w:rPr>
  </w:style>
  <w:style w:type="paragraph" w:styleId="742">
    <w:name w:val="Heading 1"/>
    <w:basedOn w:val="741"/>
    <w:next w:val="741"/>
    <w:link w:val="77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3">
    <w:name w:val="Heading 2"/>
    <w:basedOn w:val="741"/>
    <w:next w:val="741"/>
    <w:link w:val="7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4">
    <w:name w:val="Heading 3"/>
    <w:basedOn w:val="741"/>
    <w:next w:val="741"/>
    <w:link w:val="7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5">
    <w:name w:val="Heading 4"/>
    <w:basedOn w:val="741"/>
    <w:next w:val="741"/>
    <w:link w:val="7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6">
    <w:name w:val="Heading 5"/>
    <w:basedOn w:val="741"/>
    <w:next w:val="741"/>
    <w:link w:val="7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47">
    <w:name w:val="Heading 6"/>
    <w:basedOn w:val="741"/>
    <w:next w:val="741"/>
    <w:link w:val="7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8">
    <w:name w:val="Heading 7"/>
    <w:basedOn w:val="741"/>
    <w:next w:val="741"/>
    <w:link w:val="78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9">
    <w:name w:val="Heading 8"/>
    <w:basedOn w:val="741"/>
    <w:next w:val="741"/>
    <w:link w:val="7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0">
    <w:name w:val="Heading 9"/>
    <w:basedOn w:val="741"/>
    <w:next w:val="741"/>
    <w:link w:val="7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1" w:default="1">
    <w:name w:val="Default Paragraph Font"/>
    <w:uiPriority w:val="1"/>
    <w:semiHidden/>
    <w:unhideWhenUsed/>
  </w:style>
  <w:style w:type="table" w:styleId="7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3" w:default="1">
    <w:name w:val="No List"/>
    <w:uiPriority w:val="99"/>
    <w:semiHidden/>
    <w:unhideWhenUsed/>
  </w:style>
  <w:style w:type="character" w:styleId="754" w:customStyle="1">
    <w:name w:val="Endnote Text Char"/>
    <w:uiPriority w:val="99"/>
    <w:rPr>
      <w:sz w:val="20"/>
    </w:rPr>
  </w:style>
  <w:style w:type="character" w:styleId="755" w:customStyle="1">
    <w:name w:val="Heading 1 Char"/>
    <w:basedOn w:val="751"/>
    <w:uiPriority w:val="9"/>
    <w:rPr>
      <w:rFonts w:ascii="Arial" w:hAnsi="Arial" w:eastAsia="Arial" w:cs="Arial"/>
      <w:sz w:val="40"/>
      <w:szCs w:val="40"/>
    </w:rPr>
  </w:style>
  <w:style w:type="character" w:styleId="756" w:customStyle="1">
    <w:name w:val="Heading 2 Char"/>
    <w:basedOn w:val="751"/>
    <w:uiPriority w:val="9"/>
    <w:rPr>
      <w:rFonts w:ascii="Arial" w:hAnsi="Arial" w:eastAsia="Arial" w:cs="Arial"/>
      <w:sz w:val="34"/>
    </w:rPr>
  </w:style>
  <w:style w:type="character" w:styleId="757" w:customStyle="1">
    <w:name w:val="Heading 3 Char"/>
    <w:basedOn w:val="751"/>
    <w:uiPriority w:val="9"/>
    <w:rPr>
      <w:rFonts w:ascii="Arial" w:hAnsi="Arial" w:eastAsia="Arial" w:cs="Arial"/>
      <w:sz w:val="30"/>
      <w:szCs w:val="30"/>
    </w:rPr>
  </w:style>
  <w:style w:type="character" w:styleId="758" w:customStyle="1">
    <w:name w:val="Heading 4 Char"/>
    <w:basedOn w:val="751"/>
    <w:uiPriority w:val="9"/>
    <w:rPr>
      <w:rFonts w:ascii="Arial" w:hAnsi="Arial" w:eastAsia="Arial" w:cs="Arial"/>
      <w:b/>
      <w:bCs/>
      <w:sz w:val="26"/>
      <w:szCs w:val="26"/>
    </w:rPr>
  </w:style>
  <w:style w:type="character" w:styleId="759" w:customStyle="1">
    <w:name w:val="Heading 5 Char"/>
    <w:basedOn w:val="751"/>
    <w:uiPriority w:val="9"/>
    <w:rPr>
      <w:rFonts w:ascii="Arial" w:hAnsi="Arial" w:eastAsia="Arial" w:cs="Arial"/>
      <w:b/>
      <w:bCs/>
      <w:sz w:val="24"/>
      <w:szCs w:val="24"/>
    </w:rPr>
  </w:style>
  <w:style w:type="character" w:styleId="760" w:customStyle="1">
    <w:name w:val="Heading 6 Char"/>
    <w:basedOn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61" w:customStyle="1">
    <w:name w:val="Heading 7 Char"/>
    <w:basedOn w:val="7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2" w:customStyle="1">
    <w:name w:val="Heading 8 Char"/>
    <w:basedOn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63" w:customStyle="1">
    <w:name w:val="Heading 9 Char"/>
    <w:basedOn w:val="751"/>
    <w:uiPriority w:val="9"/>
    <w:rPr>
      <w:rFonts w:ascii="Arial" w:hAnsi="Arial" w:eastAsia="Arial" w:cs="Arial"/>
      <w:i/>
      <w:iCs/>
      <w:sz w:val="21"/>
      <w:szCs w:val="21"/>
    </w:rPr>
  </w:style>
  <w:style w:type="character" w:styleId="764" w:customStyle="1">
    <w:name w:val="Title Char"/>
    <w:basedOn w:val="751"/>
    <w:uiPriority w:val="10"/>
    <w:rPr>
      <w:sz w:val="48"/>
      <w:szCs w:val="48"/>
    </w:rPr>
  </w:style>
  <w:style w:type="character" w:styleId="765" w:customStyle="1">
    <w:name w:val="Subtitle Char"/>
    <w:basedOn w:val="751"/>
    <w:uiPriority w:val="11"/>
    <w:rPr>
      <w:sz w:val="24"/>
      <w:szCs w:val="24"/>
    </w:rPr>
  </w:style>
  <w:style w:type="character" w:styleId="766" w:customStyle="1">
    <w:name w:val="Quote Char"/>
    <w:uiPriority w:val="29"/>
    <w:rPr>
      <w:i/>
    </w:rPr>
  </w:style>
  <w:style w:type="character" w:styleId="767" w:customStyle="1">
    <w:name w:val="Intense Quote Char"/>
    <w:uiPriority w:val="30"/>
    <w:rPr>
      <w:i/>
    </w:rPr>
  </w:style>
  <w:style w:type="character" w:styleId="768" w:customStyle="1">
    <w:name w:val="Caption Char"/>
    <w:uiPriority w:val="99"/>
  </w:style>
  <w:style w:type="table" w:styleId="769" w:customStyle="1">
    <w:name w:val="Grid Table 5 Dark- Accent 1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- Accent 4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character" w:styleId="771" w:customStyle="1">
    <w:name w:val="Footnote Text Char"/>
    <w:uiPriority w:val="99"/>
    <w:rPr>
      <w:sz w:val="18"/>
    </w:rPr>
  </w:style>
  <w:style w:type="paragraph" w:styleId="772">
    <w:name w:val="endnote text"/>
    <w:basedOn w:val="741"/>
    <w:link w:val="773"/>
    <w:uiPriority w:val="99"/>
    <w:semiHidden/>
    <w:unhideWhenUsed/>
    <w:rPr>
      <w:sz w:val="20"/>
    </w:rPr>
  </w:style>
  <w:style w:type="character" w:styleId="773" w:customStyle="1">
    <w:name w:val="Текст концевой сноски Знак"/>
    <w:link w:val="772"/>
    <w:uiPriority w:val="99"/>
    <w:rPr>
      <w:sz w:val="20"/>
    </w:rPr>
  </w:style>
  <w:style w:type="character" w:styleId="774">
    <w:name w:val="endnote reference"/>
    <w:basedOn w:val="751"/>
    <w:uiPriority w:val="99"/>
    <w:semiHidden/>
    <w:unhideWhenUsed/>
    <w:rPr>
      <w:vertAlign w:val="superscript"/>
    </w:rPr>
  </w:style>
  <w:style w:type="paragraph" w:styleId="775">
    <w:name w:val="table of figures"/>
    <w:basedOn w:val="741"/>
    <w:next w:val="741"/>
    <w:uiPriority w:val="99"/>
    <w:unhideWhenUsed/>
  </w:style>
  <w:style w:type="character" w:styleId="776" w:customStyle="1">
    <w:name w:val="Заголовок 1 Знак"/>
    <w:basedOn w:val="751"/>
    <w:link w:val="742"/>
    <w:uiPriority w:val="9"/>
    <w:rPr>
      <w:rFonts w:ascii="Arial" w:hAnsi="Arial" w:eastAsia="Arial" w:cs="Arial"/>
      <w:sz w:val="40"/>
      <w:szCs w:val="40"/>
    </w:rPr>
  </w:style>
  <w:style w:type="character" w:styleId="777" w:customStyle="1">
    <w:name w:val="Заголовок 2 Знак"/>
    <w:basedOn w:val="751"/>
    <w:link w:val="743"/>
    <w:uiPriority w:val="9"/>
    <w:rPr>
      <w:rFonts w:ascii="Arial" w:hAnsi="Arial" w:eastAsia="Arial" w:cs="Arial"/>
      <w:sz w:val="34"/>
    </w:rPr>
  </w:style>
  <w:style w:type="character" w:styleId="778" w:customStyle="1">
    <w:name w:val="Заголовок 3 Знак"/>
    <w:basedOn w:val="751"/>
    <w:link w:val="744"/>
    <w:uiPriority w:val="9"/>
    <w:rPr>
      <w:rFonts w:ascii="Arial" w:hAnsi="Arial" w:eastAsia="Arial" w:cs="Arial"/>
      <w:sz w:val="30"/>
      <w:szCs w:val="30"/>
    </w:rPr>
  </w:style>
  <w:style w:type="character" w:styleId="779" w:customStyle="1">
    <w:name w:val="Заголовок 4 Знак"/>
    <w:basedOn w:val="751"/>
    <w:link w:val="745"/>
    <w:uiPriority w:val="9"/>
    <w:rPr>
      <w:rFonts w:ascii="Arial" w:hAnsi="Arial" w:eastAsia="Arial" w:cs="Arial"/>
      <w:b/>
      <w:bCs/>
      <w:sz w:val="26"/>
      <w:szCs w:val="26"/>
    </w:rPr>
  </w:style>
  <w:style w:type="character" w:styleId="780" w:customStyle="1">
    <w:name w:val="Заголовок 5 Знак"/>
    <w:basedOn w:val="751"/>
    <w:link w:val="746"/>
    <w:uiPriority w:val="9"/>
    <w:rPr>
      <w:rFonts w:ascii="Arial" w:hAnsi="Arial" w:eastAsia="Arial" w:cs="Arial"/>
      <w:b/>
      <w:bCs/>
      <w:sz w:val="24"/>
      <w:szCs w:val="24"/>
    </w:rPr>
  </w:style>
  <w:style w:type="character" w:styleId="781" w:customStyle="1">
    <w:name w:val="Заголовок 6 Знак"/>
    <w:basedOn w:val="751"/>
    <w:link w:val="747"/>
    <w:uiPriority w:val="9"/>
    <w:rPr>
      <w:rFonts w:ascii="Arial" w:hAnsi="Arial" w:eastAsia="Arial" w:cs="Arial"/>
      <w:b/>
      <w:bCs/>
      <w:sz w:val="22"/>
      <w:szCs w:val="22"/>
    </w:rPr>
  </w:style>
  <w:style w:type="character" w:styleId="782" w:customStyle="1">
    <w:name w:val="Заголовок 7 Знак"/>
    <w:basedOn w:val="751"/>
    <w:link w:val="7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3" w:customStyle="1">
    <w:name w:val="Заголовок 8 Знак"/>
    <w:basedOn w:val="751"/>
    <w:link w:val="749"/>
    <w:uiPriority w:val="9"/>
    <w:rPr>
      <w:rFonts w:ascii="Arial" w:hAnsi="Arial" w:eastAsia="Arial" w:cs="Arial"/>
      <w:i/>
      <w:iCs/>
      <w:sz w:val="22"/>
      <w:szCs w:val="22"/>
    </w:rPr>
  </w:style>
  <w:style w:type="character" w:styleId="784" w:customStyle="1">
    <w:name w:val="Заголовок 9 Знак"/>
    <w:basedOn w:val="751"/>
    <w:link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85">
    <w:name w:val="No Spacing"/>
    <w:uiPriority w:val="1"/>
    <w:qFormat/>
  </w:style>
  <w:style w:type="paragraph" w:styleId="786">
    <w:name w:val="Title"/>
    <w:basedOn w:val="741"/>
    <w:next w:val="741"/>
    <w:link w:val="7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7" w:customStyle="1">
    <w:name w:val="Заголовок Знак"/>
    <w:basedOn w:val="751"/>
    <w:link w:val="786"/>
    <w:uiPriority w:val="10"/>
    <w:rPr>
      <w:sz w:val="48"/>
      <w:szCs w:val="48"/>
    </w:rPr>
  </w:style>
  <w:style w:type="paragraph" w:styleId="788">
    <w:name w:val="Subtitle"/>
    <w:basedOn w:val="741"/>
    <w:next w:val="741"/>
    <w:link w:val="789"/>
    <w:uiPriority w:val="11"/>
    <w:qFormat/>
    <w:pPr>
      <w:spacing w:before="200" w:after="200"/>
    </w:pPr>
  </w:style>
  <w:style w:type="character" w:styleId="789" w:customStyle="1">
    <w:name w:val="Подзаголовок Знак"/>
    <w:basedOn w:val="751"/>
    <w:link w:val="788"/>
    <w:uiPriority w:val="11"/>
    <w:rPr>
      <w:sz w:val="24"/>
      <w:szCs w:val="24"/>
    </w:rPr>
  </w:style>
  <w:style w:type="paragraph" w:styleId="790">
    <w:name w:val="Quote"/>
    <w:basedOn w:val="741"/>
    <w:next w:val="741"/>
    <w:link w:val="791"/>
    <w:uiPriority w:val="29"/>
    <w:qFormat/>
    <w:pPr>
      <w:ind w:left="720" w:right="720"/>
    </w:pPr>
    <w:rPr>
      <w:i/>
    </w:rPr>
  </w:style>
  <w:style w:type="character" w:styleId="791" w:customStyle="1">
    <w:name w:val="Цитата 2 Знак"/>
    <w:link w:val="790"/>
    <w:uiPriority w:val="29"/>
    <w:rPr>
      <w:i/>
    </w:rPr>
  </w:style>
  <w:style w:type="paragraph" w:styleId="792">
    <w:name w:val="Intense Quote"/>
    <w:basedOn w:val="741"/>
    <w:next w:val="741"/>
    <w:link w:val="79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3" w:customStyle="1">
    <w:name w:val="Выделенная цитата Знак"/>
    <w:link w:val="792"/>
    <w:uiPriority w:val="30"/>
    <w:rPr>
      <w:i/>
    </w:rPr>
  </w:style>
  <w:style w:type="character" w:styleId="794" w:customStyle="1">
    <w:name w:val="Header Char"/>
    <w:basedOn w:val="751"/>
    <w:uiPriority w:val="99"/>
  </w:style>
  <w:style w:type="paragraph" w:styleId="795">
    <w:name w:val="Footer"/>
    <w:basedOn w:val="741"/>
    <w:link w:val="79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96" w:customStyle="1">
    <w:name w:val="Footer Char"/>
    <w:basedOn w:val="751"/>
    <w:uiPriority w:val="99"/>
  </w:style>
  <w:style w:type="paragraph" w:styleId="797">
    <w:name w:val="Caption"/>
    <w:basedOn w:val="741"/>
    <w:next w:val="741"/>
    <w:link w:val="7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8" w:customStyle="1">
    <w:name w:val="Нижний колонтитул Знак"/>
    <w:link w:val="795"/>
    <w:uiPriority w:val="99"/>
  </w:style>
  <w:style w:type="table" w:styleId="799">
    <w:name w:val="Table Grid"/>
    <w:basedOn w:val="752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00" w:customStyle="1">
    <w:name w:val="Table Grid Light"/>
    <w:basedOn w:val="75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1">
    <w:name w:val="Plain Table 1"/>
    <w:basedOn w:val="75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auto" w:fill="f2f2f2" w:themeFill="text1" w:themeFillTint="0D"/>
      </w:tcPr>
    </w:tblStylePr>
    <w:tblStylePr w:type="band1Vert">
      <w:tcPr>
        <w:shd w:val="clear" w:color="auto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>
    <w:name w:val="Plain Table 2"/>
    <w:basedOn w:val="75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3">
    <w:name w:val="Plain Table 3"/>
    <w:basedOn w:val="75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4">
    <w:name w:val="Plain Table 4"/>
    <w:basedOn w:val="75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Plain Table 5"/>
    <w:basedOn w:val="75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6">
    <w:name w:val="Grid Table 1 Light"/>
    <w:basedOn w:val="75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1"/>
    <w:basedOn w:val="75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2"/>
    <w:basedOn w:val="75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3"/>
    <w:basedOn w:val="75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4"/>
    <w:basedOn w:val="75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5"/>
    <w:basedOn w:val="75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6"/>
    <w:basedOn w:val="75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2"/>
    <w:basedOn w:val="75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1"/>
    <w:basedOn w:val="75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2"/>
    <w:basedOn w:val="75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3"/>
    <w:basedOn w:val="75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4"/>
    <w:basedOn w:val="75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5"/>
    <w:basedOn w:val="75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6"/>
    <w:basedOn w:val="75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"/>
    <w:basedOn w:val="75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1"/>
    <w:basedOn w:val="75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2"/>
    <w:basedOn w:val="75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3"/>
    <w:basedOn w:val="75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4"/>
    <w:basedOn w:val="75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5"/>
    <w:basedOn w:val="75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6"/>
    <w:basedOn w:val="75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4"/>
    <w:basedOn w:val="75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8" w:customStyle="1">
    <w:name w:val="Grid Table 4 - Accent 1"/>
    <w:basedOn w:val="75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9" w:customStyle="1">
    <w:name w:val="Grid Table 4 - Accent 2"/>
    <w:basedOn w:val="75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0" w:customStyle="1">
    <w:name w:val="Grid Table 4 - Accent 3"/>
    <w:basedOn w:val="75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1" w:customStyle="1">
    <w:name w:val="Grid Table 4 - Accent 4"/>
    <w:basedOn w:val="75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2" w:customStyle="1">
    <w:name w:val="Grid Table 4 - Accent 5"/>
    <w:basedOn w:val="75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3" w:customStyle="1">
    <w:name w:val="Grid Table 4 - Accent 6"/>
    <w:basedOn w:val="75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4">
    <w:name w:val="Grid Table 5 Dark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themeColor="light1" w:sz="4" w:space="0"/>
        </w:tcBorders>
      </w:tcPr>
    </w:tblStylePr>
  </w:style>
  <w:style w:type="table" w:styleId="835" w:customStyle="1">
    <w:name w:val="Основной текст 3 Знак"/>
    <w:basedOn w:val="752"/>
    <w:link w:val="9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ae5f1" w:themeFill="accent1" w:themeFillTint="34"/>
    </w:tblPr>
    <w:tblStylePr w:type="band1Horz">
      <w:tcPr>
        <w:shd w:val="clear" w:color="auto" w:fill="aec4e0" w:themeFill="accent1" w:themeFillTint="75"/>
      </w:tcPr>
    </w:tblStylePr>
    <w:tblStylePr w:type="band1Vert">
      <w:tcPr>
        <w:shd w:val="clear" w:color="auto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f81bd" w:themeFill="accent1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2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2dcdc" w:themeFill="accent2" w:themeFillTint="32"/>
    </w:tblPr>
    <w:tblStylePr w:type="band1Horz">
      <w:tcPr>
        <w:shd w:val="clear" w:color="auto" w:fill="e2aead" w:themeFill="accent2" w:themeFillTint="75"/>
      </w:tcPr>
    </w:tblStylePr>
    <w:tblStylePr w:type="band1Vert">
      <w:tcPr>
        <w:shd w:val="clear" w:color="auto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c0504d" w:themeFill="accent2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3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af1dc" w:themeFill="accent3" w:themeFillTint="34"/>
    </w:tblPr>
    <w:tblStylePr w:type="band1Horz">
      <w:tcPr>
        <w:shd w:val="clear" w:color="auto" w:fill="d0dfb2" w:themeFill="accent3" w:themeFillTint="75"/>
      </w:tcPr>
    </w:tblStylePr>
    <w:tblStylePr w:type="band1Vert">
      <w:tcPr>
        <w:shd w:val="clear" w:color="auto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9bbb59" w:themeFill="accent3"/>
        <w:tcBorders>
          <w:top w:val="single" w:color="FFFFFF" w:themeColor="light1" w:sz="4" w:space="0"/>
        </w:tcBorders>
      </w:tcPr>
    </w:tblStylePr>
  </w:style>
  <w:style w:type="table" w:styleId="838" w:customStyle="1">
    <w:name w:val="Основной текст с отступом Знак"/>
    <w:basedOn w:val="752"/>
    <w:link w:val="94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5dfec" w:themeFill="accent4" w:themeFillTint="34"/>
    </w:tblPr>
    <w:tblStylePr w:type="band1Horz">
      <w:tcPr>
        <w:shd w:val="clear" w:color="auto" w:fill="c4b7d4" w:themeFill="accent4" w:themeFillTint="75"/>
      </w:tcPr>
    </w:tblStylePr>
    <w:tblStylePr w:type="band1Vert">
      <w:tcPr>
        <w:shd w:val="clear" w:color="auto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8064a2" w:themeFill="accent4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5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aeef3" w:themeFill="accent5" w:themeFillTint="34"/>
    </w:tblPr>
    <w:tblStylePr w:type="band1Horz">
      <w:tcPr>
        <w:shd w:val="clear" w:color="auto" w:fill="acd8e4" w:themeFill="accent5" w:themeFillTint="75"/>
      </w:tcPr>
    </w:tblStylePr>
    <w:tblStylePr w:type="band1Vert">
      <w:tcPr>
        <w:shd w:val="clear" w:color="auto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bacc6" w:themeFill="accent5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 - Accent 6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de9d8" w:themeFill="accent6" w:themeFillTint="34"/>
    </w:tblPr>
    <w:tblStylePr w:type="band1Horz">
      <w:tcPr>
        <w:shd w:val="clear" w:color="auto" w:fill="fbceaa" w:themeFill="accent6" w:themeFillTint="75"/>
      </w:tcPr>
    </w:tblStylePr>
    <w:tblStylePr w:type="band1Vert">
      <w:tcPr>
        <w:shd w:val="clear" w:color="auto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79646" w:themeFill="accent6"/>
        <w:tcBorders>
          <w:top w:val="single" w:color="FFFFFF" w:themeColor="light1" w:sz="4" w:space="0"/>
        </w:tcBorders>
      </w:tcPr>
    </w:tblStylePr>
  </w:style>
  <w:style w:type="table" w:styleId="841">
    <w:name w:val="Grid Table 6 Colorful"/>
    <w:basedOn w:val="75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2" w:customStyle="1">
    <w:name w:val="Grid Table 6 Colorful - Accent 1"/>
    <w:basedOn w:val="75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auto" w:fill="dae5f1" w:themeFill="accent1" w:themeFillTint="34"/>
      </w:tcPr>
    </w:tblStylePr>
    <w:tblStylePr w:type="band1Vert"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3" w:customStyle="1">
    <w:name w:val="Grid Table 6 Colorful - Accent 2"/>
    <w:basedOn w:val="75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f2dcdc" w:themeFill="accent2" w:themeFillTint="32"/>
      </w:tcPr>
    </w:tblStylePr>
    <w:tblStylePr w:type="band1Vert"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4" w:customStyle="1">
    <w:name w:val="Grid Table 6 Colorful - Accent 3"/>
    <w:basedOn w:val="75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auto" w:fill="eaf1dc" w:themeFill="accent3" w:themeFillTint="34"/>
      </w:tcPr>
    </w:tblStylePr>
    <w:tblStylePr w:type="band1Vert"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5" w:customStyle="1">
    <w:name w:val="Grid Table 6 Colorful - Accent 4"/>
    <w:basedOn w:val="75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e5dfec" w:themeFill="accent4" w:themeFillTint="34"/>
      </w:tcPr>
    </w:tblStylePr>
    <w:tblStylePr w:type="band1Vert"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6" w:customStyle="1">
    <w:name w:val="Grid Table 6 Colorful - Accent 5"/>
    <w:basedOn w:val="75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daeef3" w:themeFill="accent5" w:themeFillTint="34"/>
      </w:tcPr>
    </w:tblStylePr>
    <w:tblStylePr w:type="band1Vert"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7" w:customStyle="1">
    <w:name w:val="Grid Table 6 Colorful - Accent 6"/>
    <w:basedOn w:val="75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fde9d8" w:themeFill="accent6" w:themeFillTint="34"/>
      </w:tcPr>
    </w:tblStylePr>
    <w:tblStylePr w:type="band1Vert"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8">
    <w:name w:val="Grid Table 7 Colorful"/>
    <w:basedOn w:val="75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D"/>
      </w:tcPr>
    </w:tblStylePr>
    <w:tblStylePr w:type="band1Vert"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7 Colorful - Accent 1"/>
    <w:basedOn w:val="75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auto" w:fill="dae5f1" w:themeFill="accent1" w:themeFillTint="34"/>
      </w:tcPr>
    </w:tblStylePr>
    <w:tblStylePr w:type="band1Vert"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auto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7 Colorful - Accent 2"/>
    <w:basedOn w:val="75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f2dcdc" w:themeFill="accent2" w:themeFillTint="32"/>
      </w:tcPr>
    </w:tblStylePr>
    <w:tblStylePr w:type="band1Vert"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auto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3"/>
    <w:basedOn w:val="75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auto" w:fill="eaf1dc" w:themeFill="accent3" w:themeFillTint="34"/>
      </w:tcPr>
    </w:tblStylePr>
    <w:tblStylePr w:type="band1Vert"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auto" w:fill="ffffff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auto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7 Colorful - Accent 4"/>
    <w:basedOn w:val="75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e5dfec" w:themeFill="accent4" w:themeFillTint="34"/>
      </w:tcPr>
    </w:tblStylePr>
    <w:tblStylePr w:type="band1Vert"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auto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7 Colorful - Accent 5"/>
    <w:basedOn w:val="75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daeef3" w:themeFill="accent5" w:themeFillTint="34"/>
      </w:tcPr>
    </w:tblStylePr>
    <w:tblStylePr w:type="band1Vert"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auto" w:fill="ffffff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auto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6"/>
    <w:basedOn w:val="75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auto" w:fill="fde9d8" w:themeFill="accent6" w:themeFillTint="34"/>
      </w:tcPr>
    </w:tblStylePr>
    <w:tblStylePr w:type="band1Vert"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auto" w:fill="ffffff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auto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"/>
    <w:basedOn w:val="752"/>
    <w:uiPriority w:val="99"/>
    <w:tblPr>
      <w:tblStyleRowBandSize w:val="1"/>
      <w:tblStyleColBandSize w:val="1"/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1"/>
    <w:basedOn w:val="752"/>
    <w:uiPriority w:val="99"/>
    <w:tblPr>
      <w:tblStyleRowBandSize w:val="1"/>
      <w:tblStyleColBandSize w:val="1"/>
    </w:tblPr>
    <w:tblStylePr w:type="band1Horz"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2"/>
    <w:basedOn w:val="752"/>
    <w:uiPriority w:val="99"/>
    <w:tblPr>
      <w:tblStyleRowBandSize w:val="1"/>
      <w:tblStyleColBandSize w:val="1"/>
    </w:tblPr>
    <w:tblStylePr w:type="band1Horz"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3"/>
    <w:basedOn w:val="752"/>
    <w:uiPriority w:val="99"/>
    <w:tblPr>
      <w:tblStyleRowBandSize w:val="1"/>
      <w:tblStyleColBandSize w:val="1"/>
    </w:tblPr>
    <w:tblStylePr w:type="band1Horz"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4"/>
    <w:basedOn w:val="752"/>
    <w:uiPriority w:val="99"/>
    <w:tblPr>
      <w:tblStyleRowBandSize w:val="1"/>
      <w:tblStyleColBandSize w:val="1"/>
    </w:tblPr>
    <w:tblStylePr w:type="band1Horz"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5"/>
    <w:basedOn w:val="752"/>
    <w:uiPriority w:val="99"/>
    <w:tblPr>
      <w:tblStyleRowBandSize w:val="1"/>
      <w:tblStyleColBandSize w:val="1"/>
    </w:tblPr>
    <w:tblStylePr w:type="band1Horz"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6"/>
    <w:basedOn w:val="752"/>
    <w:uiPriority w:val="99"/>
    <w:tblPr>
      <w:tblStyleRowBandSize w:val="1"/>
      <w:tblStyleColBandSize w:val="1"/>
    </w:tblPr>
    <w:tblStylePr w:type="band1Horz"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2"/>
    <w:basedOn w:val="75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1"/>
    <w:basedOn w:val="75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2"/>
    <w:basedOn w:val="75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3"/>
    <w:basedOn w:val="75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4"/>
    <w:basedOn w:val="75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5"/>
    <w:basedOn w:val="75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6"/>
    <w:basedOn w:val="75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9">
    <w:name w:val="List Table 3"/>
    <w:basedOn w:val="75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1"/>
    <w:basedOn w:val="75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2"/>
    <w:basedOn w:val="75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3"/>
    <w:basedOn w:val="75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4"/>
    <w:basedOn w:val="75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5"/>
    <w:basedOn w:val="75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6"/>
    <w:basedOn w:val="75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"/>
    <w:basedOn w:val="75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1"/>
    <w:basedOn w:val="75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2"/>
    <w:basedOn w:val="75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3"/>
    <w:basedOn w:val="75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4"/>
    <w:basedOn w:val="75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5"/>
    <w:basedOn w:val="75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6"/>
    <w:basedOn w:val="75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5 Dark"/>
    <w:basedOn w:val="75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</w:tblPr>
    <w:tblStylePr w:type="band1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1"/>
    <w:basedOn w:val="75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auto" w:fill="4f81bd" w:themeFill="accent1"/>
    </w:tblPr>
    <w:tblStylePr w:type="band1Horz">
      <w:tcPr>
        <w:shd w:val="clear" w:color="auto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2"/>
    <w:basedOn w:val="75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auto" w:fill="d99695" w:themeFill="accent2" w:themeFillTint="97"/>
    </w:tblPr>
    <w:tblStylePr w:type="band1Horz">
      <w:tcPr>
        <w:shd w:val="clear" w:color="auto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3"/>
    <w:basedOn w:val="75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auto" w:fill="c3d69b" w:themeFill="accent3" w:themeFillTint="98"/>
    </w:tblPr>
    <w:tblStylePr w:type="band1Horz">
      <w:tcPr>
        <w:shd w:val="clear" w:color="auto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4"/>
    <w:basedOn w:val="75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auto" w:fill="b2a1c6" w:themeFill="accent4" w:themeFillTint="9A"/>
    </w:tblPr>
    <w:tblStylePr w:type="band1Horz">
      <w:tcPr>
        <w:shd w:val="clear" w:color="auto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5"/>
    <w:basedOn w:val="75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auto" w:fill="92ccdc" w:themeFill="accent5" w:themeFillTint="9A"/>
    </w:tblPr>
    <w:tblStylePr w:type="band1Horz">
      <w:tcPr>
        <w:shd w:val="clear" w:color="auto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6"/>
    <w:basedOn w:val="75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auto" w:fill="fac090" w:themeFill="accent6" w:themeFillTint="98"/>
    </w:tblPr>
    <w:tblStylePr w:type="band1Horz">
      <w:tcPr>
        <w:shd w:val="clear" w:color="auto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>
    <w:name w:val="List Table 6 Colorful"/>
    <w:basedOn w:val="75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1" w:customStyle="1">
    <w:name w:val="List Table 6 Colorful - Accent 1"/>
    <w:basedOn w:val="75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2" w:customStyle="1">
    <w:name w:val="List Table 6 Colorful - Accent 2"/>
    <w:basedOn w:val="75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3" w:customStyle="1">
    <w:name w:val="List Table 6 Colorful - Accent 3"/>
    <w:basedOn w:val="75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4" w:customStyle="1">
    <w:name w:val="List Table 6 Colorful - Accent 4"/>
    <w:basedOn w:val="75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5" w:customStyle="1">
    <w:name w:val="List Table 6 Colorful - Accent 5"/>
    <w:basedOn w:val="75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6" w:customStyle="1">
    <w:name w:val="List Table 6 Colorful - Accent 6"/>
    <w:basedOn w:val="75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7">
    <w:name w:val="List Table 7 Colorful"/>
    <w:basedOn w:val="75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7 Colorful - Accent 1"/>
    <w:basedOn w:val="75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auto" w:fill="ffffff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auto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7 Colorful - Accent 2"/>
    <w:basedOn w:val="75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3"/>
    <w:basedOn w:val="75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7 Colorful - Accent 4"/>
    <w:basedOn w:val="75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7 Colorful - Accent 5"/>
    <w:basedOn w:val="75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6"/>
    <w:basedOn w:val="75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ned - Accent"/>
    <w:basedOn w:val="752"/>
    <w:uiPriority w:val="99"/>
    <w:rPr>
      <w:color w:val="404040"/>
      <w:szCs w:val="2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905" w:customStyle="1">
    <w:name w:val="Lined - Accent 1"/>
    <w:basedOn w:val="752"/>
    <w:uiPriority w:val="99"/>
    <w:rPr>
      <w:color w:val="404040"/>
      <w:szCs w:val="2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</w:style>
  <w:style w:type="table" w:styleId="906" w:customStyle="1">
    <w:name w:val="Lined - Accent 2"/>
    <w:basedOn w:val="752"/>
    <w:uiPriority w:val="99"/>
    <w:rPr>
      <w:color w:val="404040"/>
      <w:szCs w:val="2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</w:style>
  <w:style w:type="table" w:styleId="907" w:customStyle="1">
    <w:name w:val="Lined - Accent 3"/>
    <w:basedOn w:val="752"/>
    <w:uiPriority w:val="99"/>
    <w:rPr>
      <w:color w:val="404040"/>
      <w:szCs w:val="2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</w:style>
  <w:style w:type="table" w:styleId="908" w:customStyle="1">
    <w:name w:val="Lined - Accent 4"/>
    <w:basedOn w:val="752"/>
    <w:uiPriority w:val="99"/>
    <w:rPr>
      <w:color w:val="404040"/>
      <w:szCs w:val="2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</w:style>
  <w:style w:type="table" w:styleId="909" w:customStyle="1">
    <w:name w:val="Lined - Accent 5"/>
    <w:basedOn w:val="752"/>
    <w:uiPriority w:val="99"/>
    <w:rPr>
      <w:color w:val="404040"/>
      <w:szCs w:val="2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</w:style>
  <w:style w:type="table" w:styleId="910" w:customStyle="1">
    <w:name w:val="Lined - Accent 6"/>
    <w:basedOn w:val="752"/>
    <w:uiPriority w:val="99"/>
    <w:rPr>
      <w:color w:val="404040"/>
      <w:szCs w:val="2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</w:style>
  <w:style w:type="table" w:styleId="911" w:customStyle="1">
    <w:name w:val="Bordered &amp; Lined - Accent"/>
    <w:basedOn w:val="752"/>
    <w:uiPriority w:val="99"/>
    <w:rPr>
      <w:color w:val="404040"/>
      <w:szCs w:val="2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912" w:customStyle="1">
    <w:name w:val="Bordered &amp; Lined - Accent 1"/>
    <w:basedOn w:val="752"/>
    <w:uiPriority w:val="99"/>
    <w:rPr>
      <w:color w:val="404040"/>
      <w:szCs w:val="2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</w:style>
  <w:style w:type="table" w:styleId="913" w:customStyle="1">
    <w:name w:val="Bordered &amp; Lined - Accent 2"/>
    <w:basedOn w:val="752"/>
    <w:uiPriority w:val="99"/>
    <w:rPr>
      <w:color w:val="404040"/>
      <w:szCs w:val="2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</w:style>
  <w:style w:type="table" w:styleId="914" w:customStyle="1">
    <w:name w:val="Bordered &amp; Lined - Accent 3"/>
    <w:basedOn w:val="752"/>
    <w:uiPriority w:val="99"/>
    <w:rPr>
      <w:color w:val="404040"/>
      <w:szCs w:val="2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</w:style>
  <w:style w:type="table" w:styleId="915" w:customStyle="1">
    <w:name w:val="Bordered &amp; Lined - Accent 4"/>
    <w:basedOn w:val="752"/>
    <w:uiPriority w:val="99"/>
    <w:rPr>
      <w:color w:val="404040"/>
      <w:szCs w:val="2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</w:style>
  <w:style w:type="table" w:styleId="916" w:customStyle="1">
    <w:name w:val="Bordered &amp; Lined - Accent 5"/>
    <w:basedOn w:val="752"/>
    <w:uiPriority w:val="99"/>
    <w:rPr>
      <w:color w:val="404040"/>
      <w:szCs w:val="2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</w:style>
  <w:style w:type="table" w:styleId="917" w:customStyle="1">
    <w:name w:val="Bordered &amp; Lined - Accent 6"/>
    <w:basedOn w:val="752"/>
    <w:uiPriority w:val="99"/>
    <w:rPr>
      <w:color w:val="404040"/>
      <w:szCs w:val="2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</w:style>
  <w:style w:type="table" w:styleId="918" w:customStyle="1">
    <w:name w:val="Bordered"/>
    <w:basedOn w:val="75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9" w:customStyle="1">
    <w:name w:val="Bordered - Accent 1"/>
    <w:basedOn w:val="75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0" w:customStyle="1">
    <w:name w:val="Bordered - Accent 2"/>
    <w:basedOn w:val="75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1" w:customStyle="1">
    <w:name w:val="Bordered - Accent 3"/>
    <w:basedOn w:val="75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2" w:customStyle="1">
    <w:name w:val="Bordered - Accent 4"/>
    <w:basedOn w:val="75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3" w:customStyle="1">
    <w:name w:val="Bordered - Accent 5"/>
    <w:basedOn w:val="75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4" w:customStyle="1">
    <w:name w:val="Bordered - Accent 6"/>
    <w:basedOn w:val="75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5">
    <w:name w:val="Hyperlink"/>
    <w:uiPriority w:val="99"/>
    <w:unhideWhenUsed/>
    <w:rPr>
      <w:color w:val="0000ff" w:themeColor="hyperlink"/>
      <w:u w:val="single"/>
    </w:rPr>
  </w:style>
  <w:style w:type="paragraph" w:styleId="926">
    <w:name w:val="footnote text"/>
    <w:basedOn w:val="741"/>
    <w:link w:val="927"/>
    <w:uiPriority w:val="99"/>
    <w:semiHidden/>
    <w:unhideWhenUsed/>
    <w:pPr>
      <w:spacing w:after="40"/>
    </w:pPr>
    <w:rPr>
      <w:sz w:val="18"/>
    </w:rPr>
  </w:style>
  <w:style w:type="character" w:styleId="927" w:customStyle="1">
    <w:name w:val="Текст сноски Знак"/>
    <w:link w:val="926"/>
    <w:uiPriority w:val="99"/>
    <w:rPr>
      <w:sz w:val="18"/>
    </w:rPr>
  </w:style>
  <w:style w:type="character" w:styleId="928">
    <w:name w:val="footnote reference"/>
    <w:basedOn w:val="751"/>
    <w:uiPriority w:val="99"/>
    <w:unhideWhenUsed/>
    <w:rPr>
      <w:vertAlign w:val="superscript"/>
    </w:rPr>
  </w:style>
  <w:style w:type="paragraph" w:styleId="929">
    <w:name w:val="toc 1"/>
    <w:basedOn w:val="741"/>
    <w:next w:val="741"/>
    <w:uiPriority w:val="39"/>
    <w:unhideWhenUsed/>
    <w:pPr>
      <w:spacing w:after="57"/>
    </w:pPr>
  </w:style>
  <w:style w:type="paragraph" w:styleId="930">
    <w:name w:val="toc 2"/>
    <w:basedOn w:val="741"/>
    <w:next w:val="741"/>
    <w:uiPriority w:val="39"/>
    <w:unhideWhenUsed/>
    <w:pPr>
      <w:ind w:left="283"/>
      <w:spacing w:after="57"/>
    </w:pPr>
  </w:style>
  <w:style w:type="paragraph" w:styleId="931">
    <w:name w:val="toc 3"/>
    <w:basedOn w:val="741"/>
    <w:next w:val="741"/>
    <w:uiPriority w:val="39"/>
    <w:unhideWhenUsed/>
    <w:pPr>
      <w:ind w:left="567"/>
      <w:spacing w:after="57"/>
    </w:pPr>
  </w:style>
  <w:style w:type="paragraph" w:styleId="932">
    <w:name w:val="toc 4"/>
    <w:basedOn w:val="741"/>
    <w:next w:val="741"/>
    <w:uiPriority w:val="39"/>
    <w:unhideWhenUsed/>
    <w:pPr>
      <w:ind w:left="850"/>
      <w:spacing w:after="57"/>
    </w:pPr>
  </w:style>
  <w:style w:type="paragraph" w:styleId="933">
    <w:name w:val="toc 5"/>
    <w:basedOn w:val="741"/>
    <w:next w:val="741"/>
    <w:uiPriority w:val="39"/>
    <w:unhideWhenUsed/>
    <w:pPr>
      <w:ind w:left="1134"/>
      <w:spacing w:after="57"/>
    </w:pPr>
  </w:style>
  <w:style w:type="paragraph" w:styleId="934">
    <w:name w:val="toc 6"/>
    <w:basedOn w:val="741"/>
    <w:next w:val="741"/>
    <w:uiPriority w:val="39"/>
    <w:unhideWhenUsed/>
    <w:pPr>
      <w:ind w:left="1417"/>
      <w:spacing w:after="57"/>
    </w:pPr>
  </w:style>
  <w:style w:type="paragraph" w:styleId="935">
    <w:name w:val="toc 7"/>
    <w:basedOn w:val="741"/>
    <w:next w:val="741"/>
    <w:uiPriority w:val="39"/>
    <w:unhideWhenUsed/>
    <w:pPr>
      <w:ind w:left="1701"/>
      <w:spacing w:after="57"/>
    </w:pPr>
  </w:style>
  <w:style w:type="paragraph" w:styleId="936">
    <w:name w:val="toc 8"/>
    <w:basedOn w:val="741"/>
    <w:next w:val="741"/>
    <w:uiPriority w:val="39"/>
    <w:unhideWhenUsed/>
    <w:pPr>
      <w:ind w:left="1984"/>
      <w:spacing w:after="57"/>
    </w:pPr>
  </w:style>
  <w:style w:type="paragraph" w:styleId="937">
    <w:name w:val="toc 9"/>
    <w:basedOn w:val="741"/>
    <w:next w:val="741"/>
    <w:uiPriority w:val="39"/>
    <w:unhideWhenUsed/>
    <w:pPr>
      <w:ind w:left="2268"/>
      <w:spacing w:after="57"/>
    </w:pPr>
  </w:style>
  <w:style w:type="paragraph" w:styleId="938">
    <w:name w:val="TOC Heading"/>
    <w:uiPriority w:val="39"/>
    <w:unhideWhenUsed/>
  </w:style>
  <w:style w:type="paragraph" w:styleId="939">
    <w:name w:val="Header"/>
    <w:basedOn w:val="741"/>
    <w:link w:val="940"/>
    <w:pPr>
      <w:tabs>
        <w:tab w:val="center" w:pos="4320" w:leader="none"/>
        <w:tab w:val="right" w:pos="8640" w:leader="none"/>
      </w:tabs>
    </w:pPr>
  </w:style>
  <w:style w:type="character" w:styleId="940" w:customStyle="1">
    <w:name w:val="Верхний колонтитул Знак"/>
    <w:link w:val="939"/>
    <w:rPr>
      <w:rFonts w:ascii="Geneva CY" w:hAnsi="Geneva CY" w:eastAsia="Geneva" w:cs="Times New Roman"/>
      <w:sz w:val="20"/>
      <w:szCs w:val="20"/>
      <w:lang w:val="ru-RU" w:eastAsia="en-US"/>
    </w:rPr>
  </w:style>
  <w:style w:type="character" w:styleId="941">
    <w:name w:val="page number"/>
    <w:basedOn w:val="751"/>
  </w:style>
  <w:style w:type="paragraph" w:styleId="942">
    <w:name w:val="Balloon Text"/>
    <w:basedOn w:val="741"/>
    <w:link w:val="943"/>
    <w:uiPriority w:val="99"/>
    <w:semiHidden/>
    <w:unhideWhenUsed/>
    <w:rPr>
      <w:rFonts w:ascii="Lucida Grande" w:hAnsi="Lucida Grande"/>
      <w:sz w:val="18"/>
      <w:szCs w:val="18"/>
    </w:rPr>
  </w:style>
  <w:style w:type="character" w:styleId="943" w:customStyle="1">
    <w:name w:val="Текст выноски Знак"/>
    <w:link w:val="942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paragraph" w:styleId="944" w:customStyle="1">
    <w:name w:val="Подподпункт"/>
    <w:basedOn w:val="741"/>
    <w:link w:val="945"/>
    <w:pPr>
      <w:numPr>
        <w:ilvl w:val="0"/>
        <w:numId w:val="9"/>
      </w:numPr>
      <w:jc w:val="both"/>
      <w:spacing w:line="360" w:lineRule="auto"/>
    </w:pPr>
    <w:rPr>
      <w:sz w:val="28"/>
    </w:rPr>
  </w:style>
  <w:style w:type="character" w:styleId="945" w:customStyle="1">
    <w:name w:val="Подподпункт Знак"/>
    <w:link w:val="944"/>
    <w:rPr>
      <w:rFonts w:ascii="Times New Roman" w:hAnsi="Times New Roman" w:eastAsia="Times New Roman"/>
      <w:sz w:val="28"/>
      <w:lang w:val="ru-RU"/>
    </w:rPr>
  </w:style>
  <w:style w:type="paragraph" w:styleId="946">
    <w:name w:val="List Paragraph"/>
    <w:basedOn w:val="741"/>
    <w:uiPriority w:val="34"/>
    <w:qFormat/>
    <w:pPr>
      <w:contextualSpacing/>
      <w:ind w:left="720"/>
    </w:pPr>
    <w:rPr>
      <w:lang w:val="en-US"/>
    </w:rPr>
  </w:style>
  <w:style w:type="paragraph" w:styleId="947">
    <w:name w:val="Body Text Indent"/>
    <w:link w:val="838"/>
    <w:pPr>
      <w:ind w:firstLine="540"/>
    </w:pPr>
    <w:rPr>
      <w:rFonts w:ascii="Times New Roman" w:hAnsi="Times New Roman" w:eastAsia="Times New Roman"/>
      <w:sz w:val="24"/>
      <w:szCs w:val="24"/>
      <w:lang w:val="ru-RU"/>
    </w:rPr>
  </w:style>
  <w:style w:type="paragraph" w:styleId="948">
    <w:name w:val="Body Text 3"/>
    <w:link w:val="835"/>
    <w:pPr>
      <w:spacing w:after="120"/>
    </w:pPr>
    <w:rPr>
      <w:rFonts w:ascii="Times New Roman" w:hAnsi="Times New Roman" w:eastAsia="Times New Roman"/>
      <w:sz w:val="16"/>
      <w:szCs w:val="16"/>
      <w:lang w:val="ru-RU"/>
    </w:rPr>
  </w:style>
  <w:style w:type="character" w:styleId="949">
    <w:name w:val="annotation reference"/>
    <w:basedOn w:val="751"/>
    <w:uiPriority w:val="99"/>
    <w:semiHidden/>
    <w:unhideWhenUsed/>
    <w:rPr>
      <w:sz w:val="16"/>
      <w:szCs w:val="16"/>
    </w:rPr>
  </w:style>
  <w:style w:type="paragraph" w:styleId="950">
    <w:name w:val="annotation text"/>
    <w:basedOn w:val="741"/>
    <w:link w:val="951"/>
    <w:uiPriority w:val="99"/>
    <w:semiHidden/>
    <w:unhideWhenUsed/>
    <w:rPr>
      <w:sz w:val="20"/>
      <w:szCs w:val="20"/>
    </w:rPr>
  </w:style>
  <w:style w:type="character" w:styleId="951" w:customStyle="1">
    <w:name w:val="Текст примечания Знак"/>
    <w:basedOn w:val="751"/>
    <w:link w:val="950"/>
    <w:uiPriority w:val="99"/>
    <w:semiHidden/>
    <w:rPr>
      <w:rFonts w:ascii="Times New Roman" w:hAnsi="Times New Roman" w:eastAsia="Times New Roman"/>
      <w:szCs w:val="20"/>
      <w:lang w:val="ru-RU"/>
    </w:rPr>
  </w:style>
  <w:style w:type="paragraph" w:styleId="952">
    <w:name w:val="annotation subject"/>
    <w:basedOn w:val="950"/>
    <w:next w:val="950"/>
    <w:link w:val="953"/>
    <w:uiPriority w:val="99"/>
    <w:semiHidden/>
    <w:unhideWhenUsed/>
    <w:rPr>
      <w:b/>
      <w:bCs/>
    </w:rPr>
  </w:style>
  <w:style w:type="character" w:styleId="953" w:customStyle="1">
    <w:name w:val="Тема примечания Знак"/>
    <w:basedOn w:val="951"/>
    <w:link w:val="952"/>
    <w:uiPriority w:val="99"/>
    <w:semiHidden/>
    <w:rPr>
      <w:rFonts w:ascii="Times New Roman" w:hAnsi="Times New Roman" w:eastAsia="Times New Roman"/>
      <w:b/>
      <w:bCs/>
      <w:szCs w:val="20"/>
      <w:lang w:val="ru-RU"/>
    </w:rPr>
  </w:style>
  <w:style w:type="paragraph" w:styleId="954">
    <w:name w:val="Revision"/>
    <w:hidden/>
    <w:uiPriority w:val="99"/>
    <w:semiHidden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Times New Roman" w:hAnsi="Times New Roman" w:eastAsia="Times New Roman"/>
      <w:sz w:val="24"/>
      <w:szCs w:val="24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EA453-C997-420B-B016-B2ED5D4F3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evstratenko_av</cp:lastModifiedBy>
  <cp:revision>32</cp:revision>
  <dcterms:created xsi:type="dcterms:W3CDTF">2025-08-13T02:13:00Z</dcterms:created>
  <dcterms:modified xsi:type="dcterms:W3CDTF">2026-07-29T02:05:03Z</dcterms:modified>
</cp:coreProperties>
</file>